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7F" w:rsidRDefault="00CF3342">
      <w:pPr>
        <w:spacing w:before="78"/>
        <w:ind w:right="506"/>
        <w:jc w:val="right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402498</wp:posOffset>
            </wp:positionH>
            <wp:positionV relativeFrom="page">
              <wp:posOffset>292983</wp:posOffset>
            </wp:positionV>
            <wp:extent cx="6879062" cy="10144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62" cy="1014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701.</w:t>
      </w: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CF3342">
      <w:pPr>
        <w:spacing w:before="208" w:line="276" w:lineRule="exact"/>
        <w:ind w:right="110"/>
        <w:jc w:val="right"/>
        <w:rPr>
          <w:b/>
          <w:sz w:val="24"/>
        </w:rPr>
      </w:pPr>
      <w:r>
        <w:rPr>
          <w:b/>
          <w:color w:val="F39200"/>
          <w:sz w:val="24"/>
        </w:rPr>
        <w:t>E.2021-06-11</w:t>
      </w:r>
    </w:p>
    <w:p w:rsidR="00F6687F" w:rsidRDefault="00CF3342">
      <w:pPr>
        <w:ind w:left="152"/>
        <w:rPr>
          <w:sz w:val="44"/>
        </w:rPr>
      </w:pPr>
      <w:r>
        <w:rPr>
          <w:color w:val="A7A8A7"/>
          <w:sz w:val="44"/>
        </w:rPr>
        <w:t>FÉNYESSÉGI FOK TÁBLÁZAT</w:t>
      </w:r>
    </w:p>
    <w:p w:rsidR="00F6687F" w:rsidRDefault="00CF3342">
      <w:pPr>
        <w:pStyle w:val="Cm"/>
      </w:pPr>
      <w:r>
        <w:t>SELEMIX</w:t>
      </w:r>
      <w:r>
        <w:rPr>
          <w:vertAlign w:val="superscript"/>
        </w:rPr>
        <w:t>®</w:t>
      </w:r>
      <w:r>
        <w:t xml:space="preserve"> </w:t>
      </w:r>
      <w:r w:rsidRPr="00513B4D">
        <w:rPr>
          <w:strike/>
        </w:rPr>
        <w:t>KONVENCIONÁLIS</w:t>
      </w:r>
      <w:r>
        <w:t xml:space="preserve"> </w:t>
      </w:r>
      <w:r w:rsidR="00513B4D">
        <w:t xml:space="preserve">OLDÓSZERES </w:t>
      </w:r>
      <w:r>
        <w:t>RENDSZER</w:t>
      </w:r>
    </w:p>
    <w:p w:rsidR="00F6687F" w:rsidRDefault="00F6687F">
      <w:pPr>
        <w:pStyle w:val="Szvegtrzs"/>
        <w:rPr>
          <w:b/>
        </w:rPr>
      </w:pPr>
    </w:p>
    <w:p w:rsidR="00F6687F" w:rsidRDefault="00CF3342">
      <w:pPr>
        <w:pStyle w:val="Szvegtrzs"/>
        <w:spacing w:before="1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186318</wp:posOffset>
            </wp:positionV>
            <wp:extent cx="6280499" cy="177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99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9"/>
        <w:rPr>
          <w:b/>
          <w:sz w:val="10"/>
        </w:rPr>
      </w:pPr>
    </w:p>
    <w:p w:rsidR="00F6687F" w:rsidRDefault="00CF3342">
      <w:pPr>
        <w:pStyle w:val="Szvegtrzs"/>
        <w:spacing w:before="93" w:line="292" w:lineRule="auto"/>
        <w:ind w:left="152" w:right="1336"/>
      </w:pPr>
      <w:r>
        <w:t xml:space="preserve">Az alábbi eljárási útmutató a gyanták </w:t>
      </w:r>
      <w:r w:rsidRPr="000B4207">
        <w:rPr>
          <w:strike/>
        </w:rPr>
        <w:t>konvencionális</w:t>
      </w:r>
      <w:r>
        <w:t xml:space="preserve"> </w:t>
      </w:r>
      <w:r w:rsidR="00513B4D">
        <w:t>oldószeres</w:t>
      </w:r>
      <w:bookmarkStart w:id="0" w:name="_GoBack"/>
      <w:bookmarkEnd w:id="0"/>
      <w:r w:rsidR="000B4207">
        <w:t xml:space="preserve"> </w:t>
      </w:r>
      <w:r>
        <w:t xml:space="preserve">rendszerben történő keverésére vonatkoznak, a </w:t>
      </w:r>
      <w:r w:rsidR="000B4207">
        <w:t xml:space="preserve">fényes, selyemfényű és matt </w:t>
      </w:r>
      <w:r w:rsidRPr="000B4207">
        <w:rPr>
          <w:strike/>
        </w:rPr>
        <w:t>félfényes és a félmatt</w:t>
      </w:r>
      <w:r>
        <w:t xml:space="preserve"> szintek széles skálájának elérése érdekében.</w:t>
      </w:r>
    </w:p>
    <w:p w:rsidR="00F6687F" w:rsidRDefault="00CF3342">
      <w:pPr>
        <w:pStyle w:val="Szvegtrzs"/>
        <w:spacing w:before="120" w:line="415" w:lineRule="auto"/>
        <w:ind w:left="152" w:right="832"/>
      </w:pPr>
      <w:r>
        <w:t xml:space="preserve">Valamennyi </w:t>
      </w:r>
      <w:r w:rsidR="003100D8" w:rsidRPr="003100D8">
        <w:rPr>
          <w:strike/>
        </w:rPr>
        <w:t>fényesség</w:t>
      </w:r>
      <w:r w:rsidR="003100D8">
        <w:rPr>
          <w:strike/>
        </w:rPr>
        <w:t xml:space="preserve"> </w:t>
      </w:r>
      <w:r>
        <w:t>fényesség</w:t>
      </w:r>
      <w:r w:rsidR="003100D8">
        <w:t>i</w:t>
      </w:r>
      <w:r>
        <w:t>/</w:t>
      </w:r>
      <w:r w:rsidR="003100D8" w:rsidRPr="003100D8">
        <w:rPr>
          <w:strike/>
        </w:rPr>
        <w:t>matt</w:t>
      </w:r>
      <w:r w:rsidR="003100D8">
        <w:t xml:space="preserve"> </w:t>
      </w:r>
      <w:r>
        <w:t>matt</w:t>
      </w:r>
      <w:r w:rsidR="003100D8">
        <w:t>sági</w:t>
      </w:r>
      <w:r>
        <w:t xml:space="preserve"> fok mérése 60°-os szögben történt, </w:t>
      </w:r>
      <w:r w:rsidRPr="003100D8">
        <w:rPr>
          <w:strike/>
        </w:rPr>
        <w:t>a</w:t>
      </w:r>
      <w:r w:rsidR="006002B1" w:rsidRPr="006002B1">
        <w:t xml:space="preserve"> </w:t>
      </w:r>
      <w:r w:rsidR="003100D8">
        <w:t>és</w:t>
      </w:r>
      <w:r>
        <w:t xml:space="preserve"> 50-60 µm-es száraz </w:t>
      </w:r>
      <w:r w:rsidRPr="006002B1">
        <w:rPr>
          <w:strike/>
        </w:rPr>
        <w:t>film</w:t>
      </w:r>
      <w:r w:rsidR="006002B1">
        <w:t xml:space="preserve"> rétegvastagsággal</w:t>
      </w:r>
      <w:r>
        <w:t xml:space="preserve"> </w:t>
      </w:r>
      <w:r w:rsidRPr="006002B1">
        <w:rPr>
          <w:strike/>
        </w:rPr>
        <w:t>vastagsággal</w:t>
      </w:r>
      <w:r>
        <w:t xml:space="preserve">. A fényességi </w:t>
      </w:r>
      <w:r w:rsidRPr="003100D8">
        <w:rPr>
          <w:strike/>
        </w:rPr>
        <w:t>fokok</w:t>
      </w:r>
      <w:r>
        <w:t xml:space="preserve"> </w:t>
      </w:r>
      <w:r w:rsidR="003100D8">
        <w:t xml:space="preserve">fok </w:t>
      </w:r>
      <w:r w:rsidRPr="003100D8">
        <w:rPr>
          <w:strike/>
        </w:rPr>
        <w:t>hozzávetőlegesek</w:t>
      </w:r>
      <w:r w:rsidR="003100D8">
        <w:t xml:space="preserve"> hozzávetőleges,</w:t>
      </w:r>
      <w:r w:rsidRPr="00DE1015">
        <w:rPr>
          <w:strike/>
        </w:rPr>
        <w:t xml:space="preserve"> és</w:t>
      </w:r>
      <w:r>
        <w:t xml:space="preserve"> a szín</w:t>
      </w:r>
      <w:r w:rsidR="006002B1">
        <w:t xml:space="preserve"> </w:t>
      </w:r>
      <w:r w:rsidRPr="00725777">
        <w:rPr>
          <w:strike/>
        </w:rPr>
        <w:t>t</w:t>
      </w:r>
      <w:r>
        <w:t xml:space="preserve">, </w:t>
      </w:r>
      <w:r w:rsidRPr="003100D8">
        <w:rPr>
          <w:strike/>
        </w:rPr>
        <w:t>az</w:t>
      </w:r>
      <w:r>
        <w:t xml:space="preserve"> </w:t>
      </w:r>
      <w:r w:rsidRPr="003100D8">
        <w:rPr>
          <w:strike/>
        </w:rPr>
        <w:t>alkalmazás</w:t>
      </w:r>
      <w:r>
        <w:t xml:space="preserve"> </w:t>
      </w:r>
      <w:r w:rsidR="003100D8">
        <w:t>a felhasználás</w:t>
      </w:r>
      <w:r w:rsidR="00725777">
        <w:t>i</w:t>
      </w:r>
      <w:r w:rsidR="003100D8">
        <w:t xml:space="preserve"> </w:t>
      </w:r>
      <w:r>
        <w:t xml:space="preserve">és a száradási körülmények függvényében </w:t>
      </w:r>
      <w:r w:rsidRPr="003100D8">
        <w:rPr>
          <w:strike/>
        </w:rPr>
        <w:t>változhatnak</w:t>
      </w:r>
      <w:r w:rsidR="003100D8">
        <w:t xml:space="preserve"> változhat.</w:t>
      </w:r>
    </w:p>
    <w:p w:rsidR="00F6687F" w:rsidRDefault="00F6687F">
      <w:pPr>
        <w:pStyle w:val="Szvegtrzs"/>
        <w:spacing w:before="5"/>
        <w:rPr>
          <w:sz w:val="21"/>
        </w:rPr>
      </w:pPr>
    </w:p>
    <w:p w:rsidR="00F6687F" w:rsidRDefault="00CF3342">
      <w:pPr>
        <w:pStyle w:val="Cmsor1"/>
      </w:pPr>
      <w:r>
        <w:t>TERMÉKEK</w:t>
      </w:r>
    </w:p>
    <w:p w:rsidR="00F6687F" w:rsidRDefault="00F6687F">
      <w:pPr>
        <w:pStyle w:val="Szvegtrzs"/>
        <w:spacing w:before="9"/>
        <w:rPr>
          <w:b/>
        </w:rPr>
      </w:pPr>
    </w:p>
    <w:p w:rsidR="00F6687F" w:rsidRDefault="00CF3342">
      <w:pPr>
        <w:pStyle w:val="Szvegtrzs"/>
        <w:ind w:left="152"/>
      </w:pPr>
      <w:r>
        <w:t xml:space="preserve">4-0090 + 4-0015 </w:t>
      </w:r>
      <w:r>
        <w:rPr>
          <w:i/>
        </w:rPr>
        <w:t xml:space="preserve">Selemix </w:t>
      </w:r>
      <w:r>
        <w:t>2K színtelen fedő</w:t>
      </w:r>
      <w:r w:rsidRPr="005A44F4">
        <w:rPr>
          <w:strike/>
        </w:rPr>
        <w:t>bevonat</w:t>
      </w:r>
      <w:r w:rsidR="005A44F4" w:rsidRPr="005A44F4">
        <w:t>festék</w:t>
      </w:r>
      <w:r>
        <w:t xml:space="preserve"> (Fényes és Matt)</w:t>
      </w:r>
    </w:p>
    <w:p w:rsidR="00F6687F" w:rsidRDefault="00F6687F">
      <w:pPr>
        <w:pStyle w:val="Szvegtrzs"/>
        <w:spacing w:before="1" w:after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54"/>
        <w:gridCol w:w="6140"/>
      </w:tblGrid>
      <w:tr w:rsidR="00F6687F">
        <w:trPr>
          <w:trHeight w:val="286"/>
        </w:trPr>
        <w:tc>
          <w:tcPr>
            <w:tcW w:w="1454" w:type="dxa"/>
          </w:tcPr>
          <w:p w:rsidR="00F6687F" w:rsidRDefault="00CF3342">
            <w:pPr>
              <w:pStyle w:val="TableParagraph"/>
              <w:spacing w:before="0"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7-330 + 7-320</w:t>
            </w:r>
          </w:p>
        </w:tc>
        <w:tc>
          <w:tcPr>
            <w:tcW w:w="6140" w:type="dxa"/>
          </w:tcPr>
          <w:p w:rsidR="00F6687F" w:rsidRDefault="00CF3342">
            <w:pPr>
              <w:pStyle w:val="TableParagraph"/>
              <w:spacing w:before="0" w:line="223" w:lineRule="exact"/>
              <w:ind w:left="156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Selemix </w:t>
            </w:r>
            <w:r>
              <w:t xml:space="preserve">1K cellulóz </w:t>
            </w:r>
            <w:r w:rsidR="005A44F4">
              <w:t>fedő</w:t>
            </w:r>
            <w:r w:rsidR="005A44F4" w:rsidRPr="005A44F4">
              <w:rPr>
                <w:strike/>
              </w:rPr>
              <w:t>bevonat</w:t>
            </w:r>
            <w:r w:rsidR="005A44F4" w:rsidRPr="005A44F4">
              <w:t>festék</w:t>
            </w:r>
            <w:r>
              <w:t xml:space="preserve"> (Fényes és Matt)</w:t>
            </w:r>
          </w:p>
        </w:tc>
      </w:tr>
      <w:tr w:rsidR="00F6687F">
        <w:trPr>
          <w:trHeight w:val="350"/>
        </w:trPr>
        <w:tc>
          <w:tcPr>
            <w:tcW w:w="1454" w:type="dxa"/>
          </w:tcPr>
          <w:p w:rsidR="00F6687F" w:rsidRDefault="00CF3342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7-410 + 7-412</w:t>
            </w:r>
          </w:p>
        </w:tc>
        <w:tc>
          <w:tcPr>
            <w:tcW w:w="6140" w:type="dxa"/>
          </w:tcPr>
          <w:p w:rsidR="00F6687F" w:rsidRDefault="00CF3342">
            <w:pPr>
              <w:pStyle w:val="TableParagraph"/>
              <w:spacing w:before="56"/>
              <w:ind w:left="156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Selemix </w:t>
            </w:r>
            <w:r>
              <w:t xml:space="preserve">2K epoxi </w:t>
            </w:r>
            <w:r w:rsidR="005A44F4">
              <w:t>fedő</w:t>
            </w:r>
            <w:r w:rsidR="005A44F4" w:rsidRPr="005A44F4">
              <w:rPr>
                <w:strike/>
              </w:rPr>
              <w:t>bevonat</w:t>
            </w:r>
            <w:r w:rsidR="005A44F4" w:rsidRPr="005A44F4">
              <w:t>festék</w:t>
            </w:r>
            <w:r>
              <w:t xml:space="preserve"> (Fényes és Matt)</w:t>
            </w:r>
          </w:p>
        </w:tc>
      </w:tr>
      <w:tr w:rsidR="00F6687F">
        <w:trPr>
          <w:trHeight w:val="350"/>
        </w:trPr>
        <w:tc>
          <w:tcPr>
            <w:tcW w:w="1454" w:type="dxa"/>
          </w:tcPr>
          <w:p w:rsidR="00F6687F" w:rsidRDefault="00CF3342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7-512 + 7-511</w:t>
            </w:r>
          </w:p>
        </w:tc>
        <w:tc>
          <w:tcPr>
            <w:tcW w:w="6140" w:type="dxa"/>
          </w:tcPr>
          <w:p w:rsidR="00F6687F" w:rsidRDefault="00CF3342">
            <w:pPr>
              <w:pStyle w:val="TableParagraph"/>
              <w:spacing w:before="56"/>
              <w:ind w:left="156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Selemix </w:t>
            </w:r>
            <w:r>
              <w:t xml:space="preserve">2K poliuretán </w:t>
            </w:r>
            <w:r w:rsidR="005A44F4">
              <w:t>fedő</w:t>
            </w:r>
            <w:r w:rsidR="005A44F4" w:rsidRPr="005A44F4">
              <w:rPr>
                <w:strike/>
              </w:rPr>
              <w:t>bevonat</w:t>
            </w:r>
            <w:r w:rsidR="005A44F4" w:rsidRPr="005A44F4">
              <w:t>festék</w:t>
            </w:r>
            <w:r>
              <w:t xml:space="preserve"> (Fényes és Matt)</w:t>
            </w:r>
          </w:p>
        </w:tc>
      </w:tr>
      <w:tr w:rsidR="00F6687F">
        <w:trPr>
          <w:trHeight w:val="286"/>
        </w:trPr>
        <w:tc>
          <w:tcPr>
            <w:tcW w:w="1454" w:type="dxa"/>
          </w:tcPr>
          <w:p w:rsidR="00F6687F" w:rsidRDefault="00CF3342">
            <w:pPr>
              <w:pStyle w:val="TableParagraph"/>
              <w:spacing w:before="56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7-610 + 7-611</w:t>
            </w:r>
          </w:p>
        </w:tc>
        <w:tc>
          <w:tcPr>
            <w:tcW w:w="6140" w:type="dxa"/>
          </w:tcPr>
          <w:p w:rsidR="00F6687F" w:rsidRDefault="00CF3342" w:rsidP="005A44F4">
            <w:pPr>
              <w:pStyle w:val="TableParagraph"/>
              <w:spacing w:before="56" w:line="210" w:lineRule="exact"/>
              <w:ind w:left="155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Selemix </w:t>
            </w:r>
            <w:r>
              <w:t xml:space="preserve">1K gyorsan száradó </w:t>
            </w:r>
            <w:r w:rsidR="005A44F4">
              <w:t>fedő</w:t>
            </w:r>
            <w:r w:rsidR="005A44F4" w:rsidRPr="005A44F4">
              <w:rPr>
                <w:strike/>
              </w:rPr>
              <w:t>bevonat</w:t>
            </w:r>
            <w:r w:rsidR="005A44F4" w:rsidRPr="005A44F4">
              <w:t>festék</w:t>
            </w:r>
            <w:r w:rsidR="005A44F4">
              <w:t xml:space="preserve"> </w:t>
            </w:r>
            <w:r>
              <w:t>(Fényes és Matt)</w:t>
            </w:r>
          </w:p>
        </w:tc>
      </w:tr>
    </w:tbl>
    <w:p w:rsidR="00F6687F" w:rsidRDefault="00F6687F">
      <w:pPr>
        <w:pStyle w:val="Szvegtrzs"/>
        <w:spacing w:before="3"/>
        <w:rPr>
          <w:sz w:val="27"/>
        </w:rPr>
      </w:pPr>
    </w:p>
    <w:p w:rsidR="00F6687F" w:rsidRDefault="00CF3342">
      <w:pPr>
        <w:pStyle w:val="Cmsor1"/>
      </w:pPr>
      <w:r w:rsidRPr="003100D8">
        <w:rPr>
          <w:strike/>
        </w:rPr>
        <w:t>ADAGOLÁSI</w:t>
      </w:r>
      <w:r>
        <w:t xml:space="preserve"> </w:t>
      </w:r>
      <w:r w:rsidR="003100D8">
        <w:t xml:space="preserve">KEVERÉSI </w:t>
      </w:r>
      <w:r>
        <w:t>ARÁNYOK 4-0090 + 4-0015</w:t>
      </w:r>
    </w:p>
    <w:p w:rsidR="00F6687F" w:rsidRDefault="00CF3342">
      <w:pPr>
        <w:pStyle w:val="Szvegtrzs"/>
        <w:spacing w:before="1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716916</wp:posOffset>
            </wp:positionH>
            <wp:positionV relativeFrom="paragraph">
              <wp:posOffset>91544</wp:posOffset>
            </wp:positionV>
            <wp:extent cx="6348030" cy="179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30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5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275"/>
        <w:gridCol w:w="1277"/>
        <w:gridCol w:w="1277"/>
        <w:gridCol w:w="1275"/>
      </w:tblGrid>
      <w:tr w:rsidR="00F6687F">
        <w:trPr>
          <w:trHeight w:val="428"/>
        </w:trPr>
        <w:tc>
          <w:tcPr>
            <w:tcW w:w="41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:rsidR="00F6687F" w:rsidRDefault="00CF3342">
            <w:pPr>
              <w:pStyle w:val="TableParagraph"/>
              <w:spacing w:before="95"/>
              <w:ind w:left="1650" w:right="1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Termék</w:t>
            </w:r>
          </w:p>
        </w:tc>
        <w:tc>
          <w:tcPr>
            <w:tcW w:w="127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257" w:righ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Matt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96" w:righ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Félmatt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95" w:right="83"/>
              <w:rPr>
                <w:b/>
                <w:strike/>
                <w:color w:val="FFFFFF"/>
                <w:sz w:val="20"/>
              </w:rPr>
            </w:pPr>
            <w:r w:rsidRPr="006002B1">
              <w:rPr>
                <w:b/>
                <w:strike/>
                <w:color w:val="FFFFFF"/>
                <w:sz w:val="20"/>
              </w:rPr>
              <w:t>Félfényes</w:t>
            </w:r>
          </w:p>
          <w:p w:rsidR="006002B1" w:rsidRPr="006002B1" w:rsidRDefault="006002B1">
            <w:pPr>
              <w:pStyle w:val="TableParagraph"/>
              <w:spacing w:before="95"/>
              <w:ind w:left="95" w:right="83"/>
              <w:rPr>
                <w:b/>
                <w:sz w:val="20"/>
              </w:rPr>
            </w:pPr>
            <w:r w:rsidRPr="006002B1">
              <w:rPr>
                <w:b/>
                <w:color w:val="FFFFFF"/>
                <w:sz w:val="20"/>
              </w:rPr>
              <w:t>Selyemfényű</w:t>
            </w:r>
          </w:p>
        </w:tc>
        <w:tc>
          <w:tcPr>
            <w:tcW w:w="1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255" w:right="2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Fényes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Színtelen lakk 4-0015, matt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6" w:right="241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5" w:right="83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4" w:right="83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Színtelen lakk 4-0090, fényes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4" w:right="8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4" w:right="256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Fényességi fok (60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8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10-20%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20-30%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40-50%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6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80-90%</w:t>
            </w:r>
          </w:p>
        </w:tc>
      </w:tr>
      <w:tr w:rsidR="00F6687F">
        <w:trPr>
          <w:trHeight w:val="430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 w:rsidP="006002B1">
            <w:pPr>
              <w:pStyle w:val="TableParagraph"/>
              <w:spacing w:before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Lásd a következő számú </w:t>
            </w:r>
            <w:r w:rsidR="005A44F4">
              <w:rPr>
                <w:b/>
                <w:sz w:val="20"/>
              </w:rPr>
              <w:t xml:space="preserve">műszaki adatlap </w:t>
            </w:r>
            <w:r w:rsidRPr="005A44F4">
              <w:rPr>
                <w:b/>
                <w:strike/>
                <w:sz w:val="20"/>
              </w:rPr>
              <w:t xml:space="preserve">TDS kártya </w:t>
            </w:r>
            <w:r>
              <w:rPr>
                <w:b/>
                <w:sz w:val="20"/>
              </w:rPr>
              <w:t>útmutatóját: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6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598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598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598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4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598</w:t>
            </w:r>
          </w:p>
        </w:tc>
      </w:tr>
    </w:tbl>
    <w:p w:rsidR="00F6687F" w:rsidRDefault="00F6687F">
      <w:pPr>
        <w:pStyle w:val="Szvegtrzs"/>
        <w:spacing w:before="11"/>
        <w:rPr>
          <w:b/>
          <w:sz w:val="26"/>
        </w:rPr>
      </w:pPr>
    </w:p>
    <w:p w:rsidR="00F6687F" w:rsidRDefault="000B4207">
      <w:pPr>
        <w:ind w:left="152"/>
        <w:rPr>
          <w:b/>
          <w:sz w:val="24"/>
        </w:rPr>
      </w:pPr>
      <w:r w:rsidRPr="000B4207">
        <w:rPr>
          <w:b/>
          <w:strike/>
          <w:sz w:val="24"/>
        </w:rPr>
        <w:t>ADAGOLÁSI</w:t>
      </w:r>
      <w:r w:rsidRPr="000B4207">
        <w:rPr>
          <w:b/>
          <w:sz w:val="24"/>
        </w:rPr>
        <w:t xml:space="preserve"> KEVERÉSI</w:t>
      </w:r>
      <w:r w:rsidR="00CF3342">
        <w:rPr>
          <w:b/>
          <w:sz w:val="24"/>
        </w:rPr>
        <w:t xml:space="preserve"> ARÁNYOK 7-330 + 7-320</w:t>
      </w:r>
    </w:p>
    <w:p w:rsidR="00F6687F" w:rsidRDefault="00CF3342">
      <w:pPr>
        <w:pStyle w:val="Szvegtrzs"/>
        <w:spacing w:before="1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716916</wp:posOffset>
            </wp:positionH>
            <wp:positionV relativeFrom="paragraph">
              <wp:posOffset>91598</wp:posOffset>
            </wp:positionV>
            <wp:extent cx="6348030" cy="1790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30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5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292"/>
        <w:gridCol w:w="1294"/>
        <w:gridCol w:w="1292"/>
        <w:gridCol w:w="1292"/>
      </w:tblGrid>
      <w:tr w:rsidR="00F6687F">
        <w:trPr>
          <w:trHeight w:val="428"/>
        </w:trPr>
        <w:tc>
          <w:tcPr>
            <w:tcW w:w="41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:rsidR="00F6687F" w:rsidRDefault="00CF3342">
            <w:pPr>
              <w:pStyle w:val="TableParagraph"/>
              <w:spacing w:before="95"/>
              <w:ind w:left="1650" w:right="1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Termék</w:t>
            </w:r>
          </w:p>
        </w:tc>
        <w:tc>
          <w:tcPr>
            <w:tcW w:w="129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100" w:right="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Matt</w:t>
            </w:r>
          </w:p>
        </w:tc>
        <w:tc>
          <w:tcPr>
            <w:tcW w:w="129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242" w:righ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Félmatt</w:t>
            </w:r>
          </w:p>
        </w:tc>
        <w:tc>
          <w:tcPr>
            <w:tcW w:w="129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6002B1" w:rsidRDefault="006002B1" w:rsidP="006002B1">
            <w:pPr>
              <w:pStyle w:val="TableParagraph"/>
              <w:spacing w:before="95"/>
              <w:ind w:left="95" w:right="83"/>
              <w:rPr>
                <w:b/>
                <w:strike/>
                <w:color w:val="FFFFFF"/>
                <w:sz w:val="20"/>
              </w:rPr>
            </w:pPr>
            <w:r w:rsidRPr="006002B1">
              <w:rPr>
                <w:b/>
                <w:strike/>
                <w:color w:val="FFFFFF"/>
                <w:sz w:val="20"/>
              </w:rPr>
              <w:t>Félfényes</w:t>
            </w:r>
          </w:p>
          <w:p w:rsidR="00F6687F" w:rsidRDefault="006002B1" w:rsidP="006002B1">
            <w:pPr>
              <w:pStyle w:val="TableParagraph"/>
              <w:spacing w:before="95"/>
              <w:ind w:left="100" w:right="95"/>
              <w:rPr>
                <w:b/>
                <w:sz w:val="20"/>
              </w:rPr>
            </w:pPr>
            <w:r w:rsidRPr="006002B1">
              <w:rPr>
                <w:b/>
                <w:color w:val="FFFFFF"/>
                <w:sz w:val="20"/>
              </w:rPr>
              <w:t>Selyemfényű</w:t>
            </w:r>
          </w:p>
        </w:tc>
        <w:tc>
          <w:tcPr>
            <w:tcW w:w="129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95"/>
              <w:ind w:left="264" w:right="2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Fényes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Cellulóz gyanta 7-320, matt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88"/>
              <w:rPr>
                <w:sz w:val="20"/>
              </w:rPr>
            </w:pPr>
            <w:r>
              <w:rPr>
                <w:sz w:val="20"/>
              </w:rPr>
              <w:t>800 g</w:t>
            </w:r>
          </w:p>
        </w:tc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41" w:right="232"/>
              <w:rPr>
                <w:sz w:val="20"/>
              </w:rPr>
            </w:pPr>
            <w:r>
              <w:rPr>
                <w:sz w:val="20"/>
              </w:rPr>
              <w:t>600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400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Cellulóz gyanta 7-330, fényes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41" w:right="232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400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64" w:right="265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Pr="000B4207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NPxx </w:t>
            </w:r>
            <w:r w:rsidRPr="000B4207">
              <w:rPr>
                <w:strike/>
                <w:sz w:val="20"/>
              </w:rPr>
              <w:t>tonerek</w:t>
            </w:r>
            <w:r w:rsidR="000B4207">
              <w:rPr>
                <w:strike/>
                <w:sz w:val="20"/>
              </w:rPr>
              <w:t xml:space="preserve"> </w:t>
            </w:r>
            <w:r w:rsidR="00DE1015">
              <w:rPr>
                <w:sz w:val="20"/>
              </w:rPr>
              <w:t xml:space="preserve"> színezőpaszták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87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41" w:right="232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64" w:right="265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F6687F">
        <w:trPr>
          <w:trHeight w:val="42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Fényességi fok (60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10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10-20%</w:t>
            </w:r>
          </w:p>
        </w:tc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42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20-30%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40-50%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64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80-90%</w:t>
            </w:r>
          </w:p>
        </w:tc>
      </w:tr>
      <w:tr w:rsidR="00F6687F">
        <w:trPr>
          <w:trHeight w:val="430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DE1015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Lásd a következő számú műszaki adatlap </w:t>
            </w:r>
            <w:r w:rsidRPr="000335EB">
              <w:rPr>
                <w:b/>
                <w:strike/>
                <w:sz w:val="20"/>
              </w:rPr>
              <w:t>TDS kártya</w:t>
            </w:r>
            <w:r w:rsidRPr="00D907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útmutatóját: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41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0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1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64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</w:tr>
    </w:tbl>
    <w:p w:rsidR="00F6687F" w:rsidRDefault="00F6687F">
      <w:pPr>
        <w:rPr>
          <w:sz w:val="20"/>
        </w:rPr>
        <w:sectPr w:rsidR="00F668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940" w:right="440" w:bottom="280" w:left="980" w:header="708" w:footer="708" w:gutter="0"/>
          <w:cols w:space="708"/>
        </w:sectPr>
      </w:pPr>
    </w:p>
    <w:p w:rsidR="00F6687F" w:rsidRDefault="00CF3342">
      <w:pPr>
        <w:spacing w:before="76"/>
        <w:ind w:right="510"/>
        <w:jc w:val="right"/>
        <w:rPr>
          <w:b/>
          <w:sz w:val="1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402498</wp:posOffset>
            </wp:positionH>
            <wp:positionV relativeFrom="page">
              <wp:posOffset>292984</wp:posOffset>
            </wp:positionV>
            <wp:extent cx="6879062" cy="1014456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62" cy="1014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701</w:t>
      </w: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spacing w:before="2"/>
        <w:rPr>
          <w:b/>
          <w:sz w:val="27"/>
        </w:rPr>
      </w:pPr>
    </w:p>
    <w:p w:rsidR="00F6687F" w:rsidRDefault="00CF3342">
      <w:pPr>
        <w:pStyle w:val="Cmsor1"/>
        <w:spacing w:before="92"/>
      </w:pPr>
      <w:r w:rsidRPr="000B4207">
        <w:rPr>
          <w:strike/>
        </w:rPr>
        <w:t>ADAGOLÁSI</w:t>
      </w:r>
      <w:r>
        <w:t xml:space="preserve"> </w:t>
      </w:r>
      <w:r w:rsidR="000B4207">
        <w:t xml:space="preserve">KEVERÉSI </w:t>
      </w:r>
      <w:r>
        <w:t>ARÁNYOK 7-410 + 7-412</w:t>
      </w:r>
    </w:p>
    <w:p w:rsidR="00F6687F" w:rsidRDefault="00CF3342">
      <w:pPr>
        <w:pStyle w:val="Szvegtrzs"/>
        <w:spacing w:before="1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716916</wp:posOffset>
            </wp:positionH>
            <wp:positionV relativeFrom="paragraph">
              <wp:posOffset>91329</wp:posOffset>
            </wp:positionV>
            <wp:extent cx="6280497" cy="17716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97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6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347"/>
        <w:gridCol w:w="1347"/>
        <w:gridCol w:w="1347"/>
        <w:gridCol w:w="1349"/>
      </w:tblGrid>
      <w:tr w:rsidR="00F6687F">
        <w:trPr>
          <w:trHeight w:val="483"/>
        </w:trPr>
        <w:tc>
          <w:tcPr>
            <w:tcW w:w="41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:rsidR="00F6687F" w:rsidRDefault="00CF3342">
            <w:pPr>
              <w:pStyle w:val="TableParagraph"/>
              <w:spacing w:before="124"/>
              <w:ind w:left="1650" w:right="1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Termék</w:t>
            </w:r>
          </w:p>
        </w:tc>
        <w:tc>
          <w:tcPr>
            <w:tcW w:w="134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131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Matt</w:t>
            </w:r>
          </w:p>
        </w:tc>
        <w:tc>
          <w:tcPr>
            <w:tcW w:w="134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123" w:righ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Félmatt</w:t>
            </w:r>
          </w:p>
        </w:tc>
        <w:tc>
          <w:tcPr>
            <w:tcW w:w="134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6002B1" w:rsidRDefault="006002B1" w:rsidP="006002B1">
            <w:pPr>
              <w:pStyle w:val="TableParagraph"/>
              <w:spacing w:before="95"/>
              <w:ind w:left="95" w:right="83"/>
              <w:rPr>
                <w:b/>
                <w:strike/>
                <w:color w:val="FFFFFF"/>
                <w:sz w:val="20"/>
              </w:rPr>
            </w:pPr>
            <w:r w:rsidRPr="006002B1">
              <w:rPr>
                <w:b/>
                <w:strike/>
                <w:color w:val="FFFFFF"/>
                <w:sz w:val="20"/>
              </w:rPr>
              <w:t>Félfényes</w:t>
            </w:r>
          </w:p>
          <w:p w:rsidR="00F6687F" w:rsidRDefault="006002B1" w:rsidP="006002B1">
            <w:pPr>
              <w:pStyle w:val="TableParagraph"/>
              <w:spacing w:before="124"/>
              <w:ind w:left="131" w:right="118"/>
              <w:rPr>
                <w:b/>
                <w:sz w:val="20"/>
              </w:rPr>
            </w:pPr>
            <w:r w:rsidRPr="006002B1">
              <w:rPr>
                <w:b/>
                <w:color w:val="FFFFFF"/>
                <w:sz w:val="20"/>
              </w:rPr>
              <w:t>Selyemfényű</w:t>
            </w:r>
          </w:p>
        </w:tc>
        <w:tc>
          <w:tcPr>
            <w:tcW w:w="134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Fényes</w:t>
            </w:r>
          </w:p>
        </w:tc>
      </w:tr>
      <w:tr w:rsidR="00F6687F">
        <w:trPr>
          <w:trHeight w:val="483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sz w:val="20"/>
              </w:rPr>
            </w:pPr>
            <w:r>
              <w:rPr>
                <w:sz w:val="20"/>
              </w:rPr>
              <w:t>Epoxi gyanta 7-412, matt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6"/>
              <w:rPr>
                <w:sz w:val="20"/>
              </w:rPr>
            </w:pPr>
            <w:r>
              <w:rPr>
                <w:sz w:val="20"/>
              </w:rPr>
              <w:t>800 g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27" w:right="118"/>
              <w:rPr>
                <w:sz w:val="20"/>
              </w:rPr>
            </w:pPr>
            <w:r>
              <w:rPr>
                <w:sz w:val="20"/>
              </w:rPr>
              <w:t>600 g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8"/>
              <w:rPr>
                <w:sz w:val="20"/>
              </w:rPr>
            </w:pPr>
            <w:r>
              <w:rPr>
                <w:sz w:val="20"/>
              </w:rPr>
              <w:t>500 g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sz w:val="20"/>
              </w:rPr>
            </w:pPr>
            <w:r>
              <w:rPr>
                <w:sz w:val="20"/>
              </w:rPr>
              <w:t>Epoxi gyanta 7-410, fényes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27" w:right="118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8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700 g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0B4207">
            <w:pPr>
              <w:pStyle w:val="TableParagraph"/>
              <w:spacing w:before="128"/>
              <w:jc w:val="left"/>
              <w:rPr>
                <w:sz w:val="20"/>
              </w:rPr>
            </w:pPr>
            <w:r>
              <w:rPr>
                <w:sz w:val="20"/>
              </w:rPr>
              <w:t xml:space="preserve">NPxx </w:t>
            </w:r>
            <w:r w:rsidRPr="000B4207">
              <w:rPr>
                <w:strike/>
                <w:sz w:val="20"/>
              </w:rPr>
              <w:t>tonerek</w:t>
            </w:r>
            <w:r>
              <w:rPr>
                <w:strike/>
                <w:sz w:val="20"/>
              </w:rPr>
              <w:t xml:space="preserve"> </w:t>
            </w:r>
            <w:r w:rsidR="00DE1015">
              <w:rPr>
                <w:sz w:val="20"/>
              </w:rPr>
              <w:t xml:space="preserve"> színezőpaszták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8"/>
              <w:ind w:left="131" w:right="116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8"/>
              <w:ind w:left="127" w:right="118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8"/>
              <w:ind w:left="131" w:right="118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8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Fényességi fok (60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Szárítás levegőn, fémen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10-15%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2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40-50%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75-85%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Szárítás levegőn, alapozón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31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15-20%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2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55-65%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3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75-85%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3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 w:rsidP="006002B1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 w:rsidRPr="005A44F4">
              <w:rPr>
                <w:b/>
                <w:strike/>
                <w:sz w:val="20"/>
              </w:rPr>
              <w:t>Melegítés</w:t>
            </w:r>
            <w:r w:rsidR="005A44F4">
              <w:rPr>
                <w:b/>
                <w:sz w:val="20"/>
              </w:rPr>
              <w:t>Beégetés</w:t>
            </w:r>
            <w:r>
              <w:rPr>
                <w:b/>
                <w:sz w:val="20"/>
              </w:rPr>
              <w:t>, fémen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20-25%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2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50-60%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80-90%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 w:rsidRPr="005A44F4">
              <w:rPr>
                <w:b/>
                <w:strike/>
                <w:sz w:val="20"/>
              </w:rPr>
              <w:t>Melegítés</w:t>
            </w:r>
            <w:r w:rsidR="005A44F4">
              <w:rPr>
                <w:b/>
                <w:sz w:val="20"/>
              </w:rPr>
              <w:t>Beégetés</w:t>
            </w:r>
            <w:r>
              <w:rPr>
                <w:b/>
                <w:sz w:val="20"/>
              </w:rPr>
              <w:t>, alapozón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25-30%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2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65-75%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13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80-90%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DE1015">
            <w:pPr>
              <w:pStyle w:val="TableParagraph"/>
              <w:spacing w:before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Lásd a következő számú műszaki adatlap </w:t>
            </w:r>
            <w:r w:rsidRPr="000335EB">
              <w:rPr>
                <w:b/>
                <w:strike/>
                <w:sz w:val="20"/>
              </w:rPr>
              <w:t>TDS kártya</w:t>
            </w:r>
            <w:r w:rsidRPr="00D907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útmutatóját: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2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13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13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47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</w:tr>
    </w:tbl>
    <w:p w:rsidR="00F6687F" w:rsidRDefault="00F6687F">
      <w:pPr>
        <w:pStyle w:val="Szvegtrzs"/>
        <w:rPr>
          <w:b/>
          <w:sz w:val="26"/>
        </w:rPr>
      </w:pPr>
    </w:p>
    <w:p w:rsidR="00F6687F" w:rsidRDefault="00F6687F">
      <w:pPr>
        <w:pStyle w:val="Szvegtrzs"/>
        <w:rPr>
          <w:b/>
          <w:sz w:val="26"/>
        </w:rPr>
      </w:pPr>
    </w:p>
    <w:p w:rsidR="00F6687F" w:rsidRDefault="00F6687F">
      <w:pPr>
        <w:pStyle w:val="Szvegtrzs"/>
        <w:spacing w:before="7"/>
        <w:rPr>
          <w:b/>
          <w:sz w:val="30"/>
        </w:rPr>
      </w:pPr>
    </w:p>
    <w:p w:rsidR="00F6687F" w:rsidRDefault="00CF3342">
      <w:pPr>
        <w:spacing w:before="1"/>
        <w:ind w:left="152"/>
        <w:rPr>
          <w:b/>
          <w:sz w:val="24"/>
        </w:rPr>
      </w:pPr>
      <w:r w:rsidRPr="000B4207">
        <w:rPr>
          <w:b/>
          <w:strike/>
          <w:sz w:val="24"/>
        </w:rPr>
        <w:t>ADAGOLÁSI</w:t>
      </w:r>
      <w:r>
        <w:rPr>
          <w:b/>
          <w:sz w:val="24"/>
        </w:rPr>
        <w:t xml:space="preserve"> </w:t>
      </w:r>
      <w:r w:rsidR="000B4207">
        <w:rPr>
          <w:b/>
          <w:sz w:val="24"/>
        </w:rPr>
        <w:t xml:space="preserve">KEVERÉSI </w:t>
      </w:r>
      <w:r>
        <w:rPr>
          <w:b/>
          <w:sz w:val="24"/>
        </w:rPr>
        <w:t>ARÁNYOK 7-512 + 7-511</w:t>
      </w:r>
    </w:p>
    <w:p w:rsidR="00F6687F" w:rsidRDefault="00CF3342">
      <w:pPr>
        <w:pStyle w:val="Szvegtrzs"/>
        <w:spacing w:before="1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716916</wp:posOffset>
            </wp:positionH>
            <wp:positionV relativeFrom="paragraph">
              <wp:posOffset>91531</wp:posOffset>
            </wp:positionV>
            <wp:extent cx="6348030" cy="17907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30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4" w:after="1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277"/>
        <w:gridCol w:w="1416"/>
        <w:gridCol w:w="1277"/>
        <w:gridCol w:w="1419"/>
      </w:tblGrid>
      <w:tr w:rsidR="00F6687F">
        <w:trPr>
          <w:trHeight w:val="483"/>
        </w:trPr>
        <w:tc>
          <w:tcPr>
            <w:tcW w:w="41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:rsidR="00F6687F" w:rsidRDefault="00CF3342">
            <w:pPr>
              <w:pStyle w:val="TableParagraph"/>
              <w:spacing w:before="124"/>
              <w:ind w:left="1650" w:right="1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Termék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96" w:righ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Matt</w:t>
            </w:r>
          </w:p>
        </w:tc>
        <w:tc>
          <w:tcPr>
            <w:tcW w:w="141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303" w:righ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Félmatt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6002B1" w:rsidRDefault="006002B1" w:rsidP="006002B1">
            <w:pPr>
              <w:pStyle w:val="TableParagraph"/>
              <w:spacing w:before="95"/>
              <w:ind w:left="95" w:right="83"/>
              <w:rPr>
                <w:b/>
                <w:strike/>
                <w:color w:val="FFFFFF"/>
                <w:sz w:val="20"/>
              </w:rPr>
            </w:pPr>
            <w:r w:rsidRPr="006002B1">
              <w:rPr>
                <w:b/>
                <w:strike/>
                <w:color w:val="FFFFFF"/>
                <w:sz w:val="20"/>
              </w:rPr>
              <w:t>Félfényes</w:t>
            </w:r>
          </w:p>
          <w:p w:rsidR="00F6687F" w:rsidRDefault="006002B1" w:rsidP="006002B1">
            <w:pPr>
              <w:pStyle w:val="TableParagraph"/>
              <w:spacing w:before="124"/>
              <w:ind w:left="96" w:right="83"/>
              <w:rPr>
                <w:b/>
                <w:sz w:val="20"/>
              </w:rPr>
            </w:pPr>
            <w:r w:rsidRPr="006002B1">
              <w:rPr>
                <w:b/>
                <w:color w:val="FFFFFF"/>
                <w:sz w:val="20"/>
              </w:rPr>
              <w:t>Selyemfényű</w:t>
            </w:r>
          </w:p>
        </w:tc>
        <w:tc>
          <w:tcPr>
            <w:tcW w:w="141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350" w:right="3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Fényes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sz w:val="20"/>
              </w:rPr>
            </w:pPr>
            <w:r>
              <w:rPr>
                <w:sz w:val="20"/>
              </w:rPr>
              <w:t>Poliuretán gyanta 7-511, matt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96" w:right="83"/>
              <w:rPr>
                <w:sz w:val="20"/>
              </w:rPr>
            </w:pPr>
            <w:r>
              <w:rPr>
                <w:sz w:val="20"/>
              </w:rPr>
              <w:t>800 g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302" w:right="294"/>
              <w:rPr>
                <w:sz w:val="20"/>
              </w:rPr>
            </w:pPr>
            <w:r>
              <w:rPr>
                <w:sz w:val="20"/>
              </w:rPr>
              <w:t>600 g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96" w:right="83"/>
              <w:rPr>
                <w:sz w:val="20"/>
              </w:rPr>
            </w:pPr>
            <w:r>
              <w:rPr>
                <w:sz w:val="20"/>
              </w:rPr>
              <w:t>500 g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8"/>
              <w:jc w:val="left"/>
              <w:rPr>
                <w:sz w:val="20"/>
              </w:rPr>
            </w:pPr>
            <w:r>
              <w:rPr>
                <w:sz w:val="20"/>
              </w:rPr>
              <w:t>Poliuretán gyanta 7-512, fényes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302" w:right="294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96" w:right="83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350" w:right="350"/>
              <w:rPr>
                <w:sz w:val="20"/>
              </w:rPr>
            </w:pPr>
            <w:r>
              <w:rPr>
                <w:sz w:val="20"/>
              </w:rPr>
              <w:t>700 g</w:t>
            </w:r>
          </w:p>
        </w:tc>
      </w:tr>
      <w:tr w:rsidR="00F6687F">
        <w:trPr>
          <w:trHeight w:val="483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0B4207">
            <w:pPr>
              <w:pStyle w:val="TableParagraph"/>
              <w:spacing w:before="1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NPxx </w:t>
            </w:r>
            <w:r w:rsidRPr="000B4207">
              <w:rPr>
                <w:strike/>
                <w:sz w:val="20"/>
              </w:rPr>
              <w:t>tonerek</w:t>
            </w:r>
            <w:r>
              <w:rPr>
                <w:strike/>
                <w:sz w:val="20"/>
              </w:rPr>
              <w:t xml:space="preserve"> </w:t>
            </w:r>
            <w:r w:rsidR="00DE1015">
              <w:rPr>
                <w:sz w:val="20"/>
              </w:rPr>
              <w:t xml:space="preserve"> színezőpaszták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6" w:right="83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302" w:right="294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6" w:right="83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350" w:right="350"/>
              <w:rPr>
                <w:sz w:val="20"/>
              </w:rPr>
            </w:pPr>
            <w:r>
              <w:rPr>
                <w:sz w:val="20"/>
              </w:rPr>
              <w:t>300 g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Fényességi fok (60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F6687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Szárítás levegőn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9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5-10%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303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15-20%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50-55%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3"/>
              <w:ind w:left="350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3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Pr="000B4207" w:rsidRDefault="00811FE2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Beégetés</w:t>
            </w:r>
            <w:r w:rsidR="00CF3342">
              <w:rPr>
                <w:b/>
                <w:sz w:val="20"/>
              </w:rPr>
              <w:t xml:space="preserve"> </w:t>
            </w:r>
            <w:r w:rsidR="00CF3342" w:rsidRPr="000B4207">
              <w:rPr>
                <w:b/>
                <w:strike/>
                <w:sz w:val="20"/>
              </w:rPr>
              <w:t>festőfülkében</w:t>
            </w:r>
            <w:r w:rsidR="000B4207">
              <w:rPr>
                <w:b/>
                <w:sz w:val="20"/>
              </w:rPr>
              <w:t xml:space="preserve"> szórókamrában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9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15-20%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303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25-30%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55-60%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350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&gt;90%</w:t>
            </w:r>
          </w:p>
        </w:tc>
      </w:tr>
      <w:tr w:rsidR="00F6687F">
        <w:trPr>
          <w:trHeight w:val="487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DE1015">
            <w:pPr>
              <w:pStyle w:val="TableParagraph"/>
              <w:spacing w:before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Lásd a következő számú műszaki adatlap </w:t>
            </w:r>
            <w:r w:rsidRPr="000335EB">
              <w:rPr>
                <w:b/>
                <w:strike/>
                <w:sz w:val="20"/>
              </w:rPr>
              <w:t>TDS kártya</w:t>
            </w:r>
            <w:r w:rsidRPr="00D907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útmutatóját: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  <w:tc>
          <w:tcPr>
            <w:tcW w:w="14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302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9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575</w:t>
            </w:r>
          </w:p>
        </w:tc>
        <w:tc>
          <w:tcPr>
            <w:tcW w:w="14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126"/>
              <w:ind w:left="350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537</w:t>
            </w:r>
          </w:p>
        </w:tc>
      </w:tr>
    </w:tbl>
    <w:p w:rsidR="00F6687F" w:rsidRDefault="00F6687F">
      <w:pPr>
        <w:rPr>
          <w:sz w:val="20"/>
        </w:rPr>
        <w:sectPr w:rsidR="00F6687F">
          <w:pgSz w:w="11900" w:h="16850"/>
          <w:pgMar w:top="940" w:right="440" w:bottom="280" w:left="980" w:header="708" w:footer="708" w:gutter="0"/>
          <w:cols w:space="708"/>
        </w:sectPr>
      </w:pPr>
    </w:p>
    <w:p w:rsidR="00F6687F" w:rsidRDefault="00CF3342">
      <w:pPr>
        <w:spacing w:before="76"/>
        <w:ind w:right="510"/>
        <w:jc w:val="right"/>
        <w:rPr>
          <w:b/>
          <w:sz w:val="1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402498</wp:posOffset>
            </wp:positionH>
            <wp:positionV relativeFrom="page">
              <wp:posOffset>292984</wp:posOffset>
            </wp:positionV>
            <wp:extent cx="6879062" cy="1014456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62" cy="1014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701</w:t>
      </w: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rPr>
          <w:b/>
        </w:rPr>
      </w:pPr>
    </w:p>
    <w:p w:rsidR="00F6687F" w:rsidRDefault="00F6687F">
      <w:pPr>
        <w:pStyle w:val="Szvegtrzs"/>
        <w:spacing w:before="2"/>
        <w:rPr>
          <w:b/>
          <w:sz w:val="27"/>
        </w:rPr>
      </w:pPr>
    </w:p>
    <w:p w:rsidR="00F6687F" w:rsidRDefault="00CF3342">
      <w:pPr>
        <w:pStyle w:val="Cmsor1"/>
        <w:spacing w:before="92"/>
      </w:pPr>
      <w:r w:rsidRPr="000B4207">
        <w:rPr>
          <w:strike/>
        </w:rPr>
        <w:t>ADAGOLÁSI</w:t>
      </w:r>
      <w:r>
        <w:t xml:space="preserve"> </w:t>
      </w:r>
      <w:r w:rsidR="000B4207">
        <w:t xml:space="preserve">KEVERÉSI </w:t>
      </w:r>
      <w:r>
        <w:t>ARÁNYOK 7-610-7-611</w:t>
      </w:r>
    </w:p>
    <w:p w:rsidR="00F6687F" w:rsidRDefault="00CF3342">
      <w:pPr>
        <w:pStyle w:val="Szvegtrzs"/>
        <w:spacing w:before="1"/>
        <w:rPr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716916</wp:posOffset>
            </wp:positionH>
            <wp:positionV relativeFrom="paragraph">
              <wp:posOffset>91329</wp:posOffset>
            </wp:positionV>
            <wp:extent cx="6280497" cy="17716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97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7F" w:rsidRDefault="00F6687F">
      <w:pPr>
        <w:pStyle w:val="Szvegtrzs"/>
        <w:spacing w:before="6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275"/>
        <w:gridCol w:w="1277"/>
        <w:gridCol w:w="1277"/>
        <w:gridCol w:w="1275"/>
      </w:tblGrid>
      <w:tr w:rsidR="00F6687F">
        <w:trPr>
          <w:trHeight w:val="483"/>
        </w:trPr>
        <w:tc>
          <w:tcPr>
            <w:tcW w:w="41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:rsidR="00F6687F" w:rsidRDefault="00CF3342">
            <w:pPr>
              <w:pStyle w:val="TableParagraph"/>
              <w:spacing w:before="124"/>
              <w:ind w:left="1650" w:right="16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Termék</w:t>
            </w:r>
          </w:p>
        </w:tc>
        <w:tc>
          <w:tcPr>
            <w:tcW w:w="127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257" w:right="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Matt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96" w:right="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Félmatt</w:t>
            </w:r>
          </w:p>
        </w:tc>
        <w:tc>
          <w:tcPr>
            <w:tcW w:w="127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9200"/>
          </w:tcPr>
          <w:p w:rsidR="00811FE2" w:rsidRDefault="00811FE2" w:rsidP="00811FE2">
            <w:pPr>
              <w:pStyle w:val="TableParagraph"/>
              <w:spacing w:before="95"/>
              <w:ind w:left="95" w:right="83"/>
              <w:rPr>
                <w:b/>
                <w:strike/>
                <w:color w:val="FFFFFF"/>
                <w:sz w:val="20"/>
              </w:rPr>
            </w:pPr>
            <w:r w:rsidRPr="006002B1">
              <w:rPr>
                <w:b/>
                <w:strike/>
                <w:color w:val="FFFFFF"/>
                <w:sz w:val="20"/>
              </w:rPr>
              <w:t>Félfényes</w:t>
            </w:r>
          </w:p>
          <w:p w:rsidR="00F6687F" w:rsidRDefault="00811FE2" w:rsidP="00811FE2">
            <w:pPr>
              <w:pStyle w:val="TableParagraph"/>
              <w:spacing w:before="124"/>
              <w:ind w:left="95" w:right="83"/>
              <w:rPr>
                <w:b/>
                <w:sz w:val="20"/>
              </w:rPr>
            </w:pPr>
            <w:r w:rsidRPr="006002B1">
              <w:rPr>
                <w:b/>
                <w:color w:val="FFFFFF"/>
                <w:sz w:val="20"/>
              </w:rPr>
              <w:t>Selyemfényű</w:t>
            </w:r>
          </w:p>
        </w:tc>
        <w:tc>
          <w:tcPr>
            <w:tcW w:w="1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39200"/>
          </w:tcPr>
          <w:p w:rsidR="00F6687F" w:rsidRDefault="00CF3342">
            <w:pPr>
              <w:pStyle w:val="TableParagraph"/>
              <w:spacing w:before="124"/>
              <w:ind w:left="255" w:right="2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Fényes</w:t>
            </w:r>
          </w:p>
        </w:tc>
      </w:tr>
      <w:tr w:rsidR="00F6687F">
        <w:trPr>
          <w:trHeight w:val="483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Gyorsan száradó gyanta 7-611, matt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6" w:right="24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5" w:right="8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4" w:right="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Gyorsan száradó gyanta 7-610, fényes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5" w:right="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4" w:right="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5" w:right="25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0B4207">
            <w:pPr>
              <w:pStyle w:val="TableParagraph"/>
              <w:spacing w:before="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NPxx </w:t>
            </w:r>
            <w:r w:rsidRPr="000B4207">
              <w:rPr>
                <w:strike/>
                <w:sz w:val="20"/>
              </w:rPr>
              <w:t>tonerek</w:t>
            </w:r>
            <w:r>
              <w:rPr>
                <w:strike/>
                <w:sz w:val="20"/>
              </w:rPr>
              <w:t xml:space="preserve"> </w:t>
            </w:r>
            <w:r w:rsidR="00DE1015">
              <w:rPr>
                <w:sz w:val="20"/>
              </w:rPr>
              <w:t xml:space="preserve"> színezőpaszták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256" w:right="24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95" w:right="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94" w:right="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73"/>
              <w:ind w:left="255" w:right="25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6687F">
        <w:trPr>
          <w:trHeight w:val="482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Szárítás gyorsító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Fényességi fok (60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8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10-20%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30-40%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9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45-55%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ind w:left="256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90-95%</w:t>
            </w:r>
          </w:p>
        </w:tc>
      </w:tr>
      <w:tr w:rsidR="00F6687F">
        <w:trPr>
          <w:trHeight w:val="485"/>
        </w:trPr>
        <w:tc>
          <w:tcPr>
            <w:tcW w:w="41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DE1015">
            <w:pPr>
              <w:pStyle w:val="TableParagraph"/>
              <w:spacing w:before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Lásd a következő számú műszaki adatlap </w:t>
            </w:r>
            <w:r w:rsidRPr="000335EB">
              <w:rPr>
                <w:b/>
                <w:strike/>
                <w:sz w:val="20"/>
              </w:rPr>
              <w:t>TDS kártya</w:t>
            </w:r>
            <w:r w:rsidRPr="00D907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útmutatóját: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6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94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541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F6687F" w:rsidRDefault="00CF3342">
            <w:pPr>
              <w:pStyle w:val="TableParagraph"/>
              <w:spacing w:before="68"/>
              <w:ind w:left="25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</w:tr>
    </w:tbl>
    <w:p w:rsidR="00F6687F" w:rsidRDefault="00CF3342">
      <w:pPr>
        <w:spacing w:before="190"/>
        <w:ind w:left="152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719456</wp:posOffset>
            </wp:positionH>
            <wp:positionV relativeFrom="paragraph">
              <wp:posOffset>328496</wp:posOffset>
            </wp:positionV>
            <wp:extent cx="6348030" cy="17907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30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0D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487680</wp:posOffset>
                </wp:positionV>
                <wp:extent cx="6030595" cy="5791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5791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7F" w:rsidRDefault="00CF3342">
                            <w:pPr>
                              <w:pStyle w:val="Szvegtrzs"/>
                              <w:spacing w:before="64" w:line="249" w:lineRule="auto"/>
                              <w:ind w:left="76" w:right="522"/>
                            </w:pPr>
                            <w:r>
                              <w:t>Az átfogó egészségügyi, biztonsági és környezetvédelmi utasítások tekintetében olvassa el figyelmesen a biztonsági adatlapon és a termék címkéjén található információkat.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38.4pt;width:474.85pt;height:45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" fillcolor="#e6e6e6" strokecolor="white" strokeweight=".96pt">
                <v:textbox inset="0,0,0,0">
                  <w:txbxContent>
                    <w:p w:rsidR="00F6687F" w:rsidRDefault="00CF3342">
                      <w:pPr>
                        <w:pStyle w:val="Szvegtrzs"/>
                        <w:spacing w:before="64" w:line="249" w:lineRule="auto"/>
                        <w:ind w:left="76" w:right="522"/>
                      </w:pPr>
                      <w:r>
                        <w:t xml:space="preserve">Az átfogó egészségügyi, biztonsági és környezetvédelmi utasítások tekintetében olvassa el figyelmesen a biztonsági adatlapon és a termék címkéjén található </w:t>
                      </w:r>
                      <w:proofErr w:type="gramStart"/>
                      <w:r>
                        <w:t>információkat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EGÉSZSÉG ÉS BIZTONSÁG</w:t>
      </w:r>
    </w:p>
    <w:p w:rsidR="00F6687F" w:rsidRDefault="00F6687F">
      <w:pPr>
        <w:pStyle w:val="Szvegtrzs"/>
        <w:spacing w:before="6"/>
        <w:rPr>
          <w:b/>
          <w:sz w:val="12"/>
        </w:rPr>
      </w:pPr>
    </w:p>
    <w:p w:rsidR="00F6687F" w:rsidRDefault="00F6687F">
      <w:pPr>
        <w:pStyle w:val="Szvegtrzs"/>
        <w:spacing w:before="7"/>
        <w:rPr>
          <w:b/>
          <w:sz w:val="24"/>
        </w:rPr>
      </w:pPr>
    </w:p>
    <w:p w:rsidR="00F6687F" w:rsidRDefault="00CF3342">
      <w:pPr>
        <w:pStyle w:val="Cmsor1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718820</wp:posOffset>
            </wp:positionH>
            <wp:positionV relativeFrom="paragraph">
              <wp:posOffset>215479</wp:posOffset>
            </wp:positionV>
            <wp:extent cx="6348030" cy="17907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030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KIZÁRÓLAG PROFESSZIONÁLIS HASZNÁLATRA SZÁNT TERMÉKEK</w:t>
      </w:r>
    </w:p>
    <w:p w:rsidR="00F6687F" w:rsidRDefault="00CF3342">
      <w:pPr>
        <w:spacing w:before="93" w:line="312" w:lineRule="auto"/>
        <w:ind w:left="152" w:right="832"/>
        <w:rPr>
          <w:sz w:val="16"/>
        </w:rPr>
      </w:pPr>
      <w:r>
        <w:rPr>
          <w:sz w:val="16"/>
        </w:rPr>
        <w:t xml:space="preserve">A lapon az adatok kizárólag tájékoztatás céljából kerültek feltüntetésre. Mindenki, aki a terméket további információk megszerzése és </w:t>
      </w:r>
      <w:r w:rsidRPr="000B4207">
        <w:rPr>
          <w:strike/>
          <w:sz w:val="16"/>
        </w:rPr>
        <w:t>professzionális</w:t>
      </w:r>
      <w:r>
        <w:rPr>
          <w:sz w:val="16"/>
        </w:rPr>
        <w:t xml:space="preserve"> képzés nélkül használja, azt a saját kockázatára végzi, ezért nem vállalunk felelősséget a termék alkalmazásának következményeiért, vagy az annak alkalmazásából eredő veszteségekért, károkért. A lapon található információk a termékek folyamatos fejlesztésére irányuló politikánk és a legújabb műszaki szaktudás alapján változhatnak. A feltüntetett száradási idők 20 °C-on mért átlagértékek. A filmvastagság, a páratartalom és a tárolási hőmérséklet befolyásolhatja a száradási időt.</w:t>
      </w:r>
    </w:p>
    <w:p w:rsidR="00F6687F" w:rsidRDefault="00F6687F">
      <w:pPr>
        <w:pStyle w:val="Szvegtrzs"/>
        <w:spacing w:before="7"/>
        <w:rPr>
          <w:sz w:val="19"/>
        </w:rPr>
      </w:pPr>
    </w:p>
    <w:p w:rsidR="00F6687F" w:rsidRDefault="00CF3342">
      <w:pPr>
        <w:ind w:left="152"/>
        <w:rPr>
          <w:b/>
          <w:sz w:val="18"/>
        </w:rPr>
      </w:pPr>
      <w:r>
        <w:rPr>
          <w:b/>
          <w:sz w:val="18"/>
        </w:rPr>
        <w:t>TOVÁBBI INFORMÁCIÓÉRT KÉRJÜK, FORDULJON AZ ALÁBBI CÉGHEZ:</w:t>
      </w:r>
    </w:p>
    <w:p w:rsidR="00F6687F" w:rsidRDefault="00CF3342">
      <w:pPr>
        <w:spacing w:before="33"/>
        <w:ind w:left="152"/>
        <w:rPr>
          <w:sz w:val="18"/>
        </w:rPr>
      </w:pPr>
      <w:r>
        <w:rPr>
          <w:sz w:val="18"/>
        </w:rPr>
        <w:t>PPG INDUSTRIES POLAND SP. Z O. O., Varsói Részleg</w:t>
      </w:r>
    </w:p>
    <w:p w:rsidR="00F6687F" w:rsidRDefault="00CF3342">
      <w:pPr>
        <w:spacing w:before="33"/>
        <w:ind w:left="152"/>
        <w:rPr>
          <w:sz w:val="18"/>
        </w:rPr>
      </w:pPr>
      <w:r>
        <w:rPr>
          <w:sz w:val="18"/>
        </w:rPr>
        <w:t>Automotive Refinish &amp; Light Industrial Coatings</w:t>
      </w:r>
    </w:p>
    <w:p w:rsidR="00F6687F" w:rsidRDefault="00CF3342">
      <w:pPr>
        <w:spacing w:before="33"/>
        <w:ind w:left="152"/>
        <w:rPr>
          <w:sz w:val="18"/>
        </w:rPr>
      </w:pPr>
      <w:r>
        <w:rPr>
          <w:sz w:val="18"/>
        </w:rPr>
        <w:t>05-816 Michałowice, Opacz Kolonia, ul. Stanisława Bodycha 47, Lengyelország,</w:t>
      </w:r>
    </w:p>
    <w:p w:rsidR="00F6687F" w:rsidRDefault="00CF3342">
      <w:pPr>
        <w:spacing w:before="33"/>
        <w:ind w:left="152"/>
        <w:rPr>
          <w:sz w:val="18"/>
        </w:rPr>
      </w:pPr>
      <w:r>
        <w:rPr>
          <w:sz w:val="18"/>
        </w:rPr>
        <w:t>Tel: +48 22 753 03 10</w:t>
      </w:r>
    </w:p>
    <w:p w:rsidR="00F6687F" w:rsidRDefault="00CF3342">
      <w:pPr>
        <w:spacing w:before="33"/>
        <w:ind w:left="152"/>
        <w:rPr>
          <w:sz w:val="18"/>
        </w:rPr>
      </w:pPr>
      <w:r>
        <w:rPr>
          <w:sz w:val="18"/>
        </w:rPr>
        <w:t>Fax: +48 22 753 03 13</w:t>
      </w: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F6687F">
      <w:pPr>
        <w:pStyle w:val="Szvegtrzs"/>
      </w:pPr>
    </w:p>
    <w:p w:rsidR="00F6687F" w:rsidRDefault="00CF3342">
      <w:pPr>
        <w:spacing w:before="128" w:line="137" w:lineRule="exact"/>
        <w:ind w:left="152"/>
        <w:rPr>
          <w:sz w:val="12"/>
        </w:rPr>
      </w:pPr>
      <w:r>
        <w:rPr>
          <w:sz w:val="12"/>
        </w:rPr>
        <w:t xml:space="preserve">The </w:t>
      </w:r>
      <w:r>
        <w:rPr>
          <w:i/>
          <w:sz w:val="12"/>
        </w:rPr>
        <w:t xml:space="preserve">PPG Logo </w:t>
      </w:r>
      <w:r>
        <w:rPr>
          <w:sz w:val="12"/>
        </w:rPr>
        <w:t xml:space="preserve">and </w:t>
      </w:r>
      <w:r>
        <w:rPr>
          <w:i/>
          <w:sz w:val="12"/>
        </w:rPr>
        <w:t xml:space="preserve">SELEMIX </w:t>
      </w:r>
      <w:r>
        <w:rPr>
          <w:sz w:val="12"/>
        </w:rPr>
        <w:t xml:space="preserve">are registered trademarks and the </w:t>
      </w:r>
      <w:r>
        <w:rPr>
          <w:i/>
          <w:sz w:val="12"/>
        </w:rPr>
        <w:t xml:space="preserve">Hexagon Logo </w:t>
      </w:r>
      <w:r>
        <w:rPr>
          <w:sz w:val="12"/>
        </w:rPr>
        <w:t>is a trademark of PPG Industries Ohio, Inc.</w:t>
      </w:r>
    </w:p>
    <w:p w:rsidR="00F6687F" w:rsidRDefault="00CF3342">
      <w:pPr>
        <w:spacing w:line="137" w:lineRule="exact"/>
        <w:ind w:left="152"/>
        <w:rPr>
          <w:sz w:val="12"/>
        </w:rPr>
      </w:pPr>
      <w:r>
        <w:rPr>
          <w:sz w:val="12"/>
        </w:rPr>
        <w:t>© 2020 PPG Industries, Inc. All rights reserved.</w:t>
      </w:r>
    </w:p>
    <w:sectPr w:rsidR="00F6687F">
      <w:pgSz w:w="11900" w:h="16850"/>
      <w:pgMar w:top="940" w:right="4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10" w:rsidRDefault="008F0110" w:rsidP="003100D8">
      <w:r>
        <w:separator/>
      </w:r>
    </w:p>
  </w:endnote>
  <w:endnote w:type="continuationSeparator" w:id="0">
    <w:p w:rsidR="008F0110" w:rsidRDefault="008F0110" w:rsidP="003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10" w:rsidRDefault="008F0110" w:rsidP="003100D8">
      <w:r>
        <w:separator/>
      </w:r>
    </w:p>
  </w:footnote>
  <w:footnote w:type="continuationSeparator" w:id="0">
    <w:p w:rsidR="008F0110" w:rsidRDefault="008F0110" w:rsidP="0031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D8" w:rsidRDefault="003100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7F"/>
    <w:rsid w:val="0001751E"/>
    <w:rsid w:val="000B4207"/>
    <w:rsid w:val="001B70E2"/>
    <w:rsid w:val="003100D8"/>
    <w:rsid w:val="00513B4D"/>
    <w:rsid w:val="00580F89"/>
    <w:rsid w:val="005A44F4"/>
    <w:rsid w:val="006002B1"/>
    <w:rsid w:val="00725777"/>
    <w:rsid w:val="00811FE2"/>
    <w:rsid w:val="008F0110"/>
    <w:rsid w:val="00CF3342"/>
    <w:rsid w:val="00D957F9"/>
    <w:rsid w:val="00DE1015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095C"/>
  <w15:docId w15:val="{F90DC54C-A55B-42C9-9159-9959424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3"/>
      <w:ind w:left="152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0"/>
      <w:ind w:left="143"/>
      <w:jc w:val="center"/>
    </w:pPr>
  </w:style>
  <w:style w:type="paragraph" w:styleId="lfej">
    <w:name w:val="header"/>
    <w:basedOn w:val="Norml"/>
    <w:link w:val="lfejChar"/>
    <w:uiPriority w:val="99"/>
    <w:unhideWhenUsed/>
    <w:rsid w:val="003100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0D8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3100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0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Wendelburg</dc:creator>
  <cp:lastModifiedBy>Jakab, Tamas</cp:lastModifiedBy>
  <cp:revision>8</cp:revision>
  <dcterms:created xsi:type="dcterms:W3CDTF">2021-10-14T14:36:00Z</dcterms:created>
  <dcterms:modified xsi:type="dcterms:W3CDTF">2021-10-15T08:46:00Z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2021-07-19T00:00:00Z</vt:filetime>
  </property>
</Properties>
</file>